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BF1367">
        <w:rPr>
          <w:b/>
        </w:rPr>
        <w:fldChar w:fldCharType="begin"/>
      </w:r>
      <w:r w:rsidR="00BF1367">
        <w:rPr>
          <w:b/>
        </w:rPr>
        <w:instrText xml:space="preserve"> INCLUDEPICTURE  "http://entrecomillas.com.co/wp-content/uploads/2014/09/logo_20congreso_1.png" \* MERGEFORMATINET </w:instrText>
      </w:r>
      <w:r w:rsidR="00BF1367">
        <w:rPr>
          <w:b/>
        </w:rPr>
        <w:fldChar w:fldCharType="separate"/>
      </w:r>
      <w:r w:rsidR="009127D0">
        <w:rPr>
          <w:b/>
        </w:rPr>
        <w:fldChar w:fldCharType="begin"/>
      </w:r>
      <w:r w:rsidR="009127D0">
        <w:rPr>
          <w:b/>
        </w:rPr>
        <w:instrText xml:space="preserve"> INCLUDEPICTURE  "http://entrecomillas.com.co/wp-content/uploads/2014/09/logo_20congreso_1.png" \* MERGEFORMATINET </w:instrText>
      </w:r>
      <w:r w:rsidR="009127D0">
        <w:rPr>
          <w:b/>
        </w:rPr>
        <w:fldChar w:fldCharType="separate"/>
      </w:r>
      <w:r w:rsidR="00FB287C">
        <w:rPr>
          <w:b/>
        </w:rPr>
        <w:fldChar w:fldCharType="begin"/>
      </w:r>
      <w:r w:rsidR="00FB287C">
        <w:rPr>
          <w:b/>
        </w:rPr>
        <w:instrText xml:space="preserve"> INCLUDEPICTURE  "http://entrecomillas.com.co/wp-content/uploads/2014/09/logo_20congreso_1.png" \* MERGEFORMATINET </w:instrText>
      </w:r>
      <w:r w:rsidR="00FB287C">
        <w:rPr>
          <w:b/>
        </w:rPr>
        <w:fldChar w:fldCharType="separate"/>
      </w:r>
      <w:r w:rsidR="0041313E">
        <w:rPr>
          <w:b/>
        </w:rPr>
        <w:fldChar w:fldCharType="begin"/>
      </w:r>
      <w:r w:rsidR="0041313E">
        <w:rPr>
          <w:b/>
        </w:rPr>
        <w:instrText xml:space="preserve"> INCLUDEPICTURE  "http://entrecomillas.com.co/wp-content/uploads/2014/09/logo_20congreso_1.png" \* MERGEFORMATINET </w:instrText>
      </w:r>
      <w:r w:rsidR="0041313E">
        <w:rPr>
          <w:b/>
        </w:rPr>
        <w:fldChar w:fldCharType="separate"/>
      </w:r>
      <w:r w:rsidR="00EC7B9A">
        <w:rPr>
          <w:b/>
        </w:rPr>
        <w:fldChar w:fldCharType="begin"/>
      </w:r>
      <w:r w:rsidR="00EC7B9A">
        <w:rPr>
          <w:b/>
        </w:rPr>
        <w:instrText xml:space="preserve"> INCLUDEPICTURE  "http://entrecomillas.com.co/wp-content/uploads/2014/09/logo_20congreso_1.png" \* MERGEFORMATINET </w:instrText>
      </w:r>
      <w:r w:rsidR="00EC7B9A">
        <w:rPr>
          <w:b/>
        </w:rPr>
        <w:fldChar w:fldCharType="separate"/>
      </w:r>
      <w:r w:rsidR="009A1444">
        <w:rPr>
          <w:b/>
        </w:rPr>
        <w:fldChar w:fldCharType="begin"/>
      </w:r>
      <w:r w:rsidR="009A1444">
        <w:rPr>
          <w:b/>
        </w:rPr>
        <w:instrText xml:space="preserve"> INCLUDEPICTURE  "http://entrecomillas.com.co/wp-content/uploads/2014/09/logo_20congreso_1.png" \* MERGEFORMATINET </w:instrText>
      </w:r>
      <w:r w:rsidR="009A1444">
        <w:rPr>
          <w:b/>
        </w:rPr>
        <w:fldChar w:fldCharType="separate"/>
      </w:r>
      <w:r w:rsidR="006A1487">
        <w:rPr>
          <w:b/>
        </w:rPr>
        <w:fldChar w:fldCharType="begin"/>
      </w:r>
      <w:r w:rsidR="006A1487">
        <w:rPr>
          <w:b/>
        </w:rPr>
        <w:instrText xml:space="preserve"> INCLUDEPICTURE  "http://entrecomillas.com.co/wp-content/uploads/2014/09/logo_20congreso_1.png" \* MERGEFORMATINET </w:instrText>
      </w:r>
      <w:r w:rsidR="006A1487">
        <w:rPr>
          <w:b/>
        </w:rPr>
        <w:fldChar w:fldCharType="separate"/>
      </w:r>
      <w:r w:rsidR="00BB4782">
        <w:rPr>
          <w:b/>
        </w:rPr>
        <w:fldChar w:fldCharType="begin"/>
      </w:r>
      <w:r w:rsidR="00BB4782">
        <w:rPr>
          <w:b/>
        </w:rPr>
        <w:instrText xml:space="preserve"> INCLUDEPICTURE  "http://entrecomillas.com.co/wp-content/uploads/2014/09/logo_20congreso_1.png" \* MERGEFORMATINET </w:instrText>
      </w:r>
      <w:r w:rsidR="00BB4782">
        <w:rPr>
          <w:b/>
        </w:rPr>
        <w:fldChar w:fldCharType="separate"/>
      </w:r>
      <w:r w:rsidR="004E0B9A">
        <w:rPr>
          <w:b/>
        </w:rPr>
        <w:fldChar w:fldCharType="begin"/>
      </w:r>
      <w:r w:rsidR="004E0B9A">
        <w:rPr>
          <w:b/>
        </w:rPr>
        <w:instrText xml:space="preserve"> </w:instrText>
      </w:r>
      <w:r w:rsidR="004E0B9A">
        <w:rPr>
          <w:b/>
        </w:rPr>
        <w:instrText>INCLUDEPICTURE  "http://entre</w:instrText>
      </w:r>
      <w:r w:rsidR="004E0B9A">
        <w:rPr>
          <w:b/>
        </w:rPr>
        <w:instrText>comillas.com.co/wp-content/uploads/2014/09/logo_20congreso_1.png" \* MERGEFORMATINET</w:instrText>
      </w:r>
      <w:r w:rsidR="004E0B9A">
        <w:rPr>
          <w:b/>
        </w:rPr>
        <w:instrText xml:space="preserve"> </w:instrText>
      </w:r>
      <w:r w:rsidR="004E0B9A">
        <w:rPr>
          <w:b/>
        </w:rPr>
        <w:fldChar w:fldCharType="separate"/>
      </w:r>
      <w:r w:rsidR="00481881">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6pt;height:52.1pt">
            <v:imagedata r:id="rId8" r:href="rId9"/>
          </v:shape>
        </w:pict>
      </w:r>
      <w:r w:rsidR="004E0B9A">
        <w:rPr>
          <w:b/>
        </w:rPr>
        <w:fldChar w:fldCharType="end"/>
      </w:r>
      <w:r w:rsidR="00BB4782">
        <w:rPr>
          <w:b/>
        </w:rPr>
        <w:fldChar w:fldCharType="end"/>
      </w:r>
      <w:r w:rsidR="006A1487">
        <w:rPr>
          <w:b/>
        </w:rPr>
        <w:fldChar w:fldCharType="end"/>
      </w:r>
      <w:r w:rsidR="009A1444">
        <w:rPr>
          <w:b/>
        </w:rPr>
        <w:fldChar w:fldCharType="end"/>
      </w:r>
      <w:r w:rsidR="00EC7B9A">
        <w:rPr>
          <w:b/>
        </w:rPr>
        <w:fldChar w:fldCharType="end"/>
      </w:r>
      <w:r w:rsidR="0041313E">
        <w:rPr>
          <w:b/>
        </w:rPr>
        <w:fldChar w:fldCharType="end"/>
      </w:r>
      <w:r w:rsidR="00FB287C">
        <w:rPr>
          <w:b/>
        </w:rPr>
        <w:fldChar w:fldCharType="end"/>
      </w:r>
      <w:r w:rsidR="009127D0">
        <w:rPr>
          <w:b/>
        </w:rPr>
        <w:fldChar w:fldCharType="end"/>
      </w:r>
      <w:r w:rsidR="00BF1367">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Default="00163C52" w:rsidP="00163C52">
      <w:pPr>
        <w:spacing w:line="276" w:lineRule="auto"/>
        <w:jc w:val="center"/>
        <w:rPr>
          <w:rFonts w:ascii="Bookman Old Style" w:hAnsi="Bookman Old Style"/>
          <w:b/>
          <w:color w:val="000000"/>
          <w:sz w:val="24"/>
          <w:szCs w:val="24"/>
        </w:rPr>
      </w:pPr>
    </w:p>
    <w:p w14:paraId="31188A8A" w14:textId="77777777" w:rsidR="007D16A6" w:rsidRPr="00F374B1" w:rsidRDefault="007D16A6" w:rsidP="00163C52">
      <w:pPr>
        <w:spacing w:line="276" w:lineRule="auto"/>
        <w:jc w:val="center"/>
        <w:rPr>
          <w:rFonts w:ascii="Bookman Old Style" w:hAnsi="Bookman Old Style"/>
          <w:b/>
          <w:color w:val="000000"/>
        </w:rPr>
      </w:pPr>
    </w:p>
    <w:p w14:paraId="1B87E960" w14:textId="77777777" w:rsidR="00CC780A" w:rsidRPr="00F374B1" w:rsidRDefault="00DF32BB" w:rsidP="00DF32BB">
      <w:pPr>
        <w:spacing w:after="0" w:line="240" w:lineRule="auto"/>
        <w:jc w:val="center"/>
        <w:rPr>
          <w:rFonts w:asciiTheme="majorHAnsi" w:eastAsia="Constantia" w:hAnsiTheme="majorHAnsi" w:cs="Constantia"/>
          <w:b/>
          <w:sz w:val="24"/>
          <w:szCs w:val="24"/>
        </w:rPr>
      </w:pPr>
      <w:r w:rsidRPr="00F374B1">
        <w:rPr>
          <w:rFonts w:asciiTheme="majorHAnsi" w:eastAsia="Constantia" w:hAnsiTheme="majorHAnsi" w:cs="Constantia"/>
          <w:b/>
          <w:sz w:val="24"/>
          <w:szCs w:val="24"/>
        </w:rPr>
        <w:t>TEXTO APROBADO EN</w:t>
      </w:r>
      <w:r w:rsidR="0013623F" w:rsidRPr="00F374B1">
        <w:rPr>
          <w:rFonts w:asciiTheme="majorHAnsi" w:eastAsia="Constantia" w:hAnsiTheme="majorHAnsi" w:cs="Constantia"/>
          <w:b/>
          <w:sz w:val="24"/>
          <w:szCs w:val="24"/>
        </w:rPr>
        <w:t xml:space="preserve"> PRIMER DEBATE </w:t>
      </w:r>
      <w:r w:rsidR="00CC780A" w:rsidRPr="00F374B1">
        <w:rPr>
          <w:rFonts w:asciiTheme="majorHAnsi" w:eastAsia="Constantia" w:hAnsiTheme="majorHAnsi" w:cs="Constantia"/>
          <w:b/>
          <w:sz w:val="24"/>
          <w:szCs w:val="24"/>
        </w:rPr>
        <w:t>E</w:t>
      </w:r>
      <w:r w:rsidR="0013623F" w:rsidRPr="00F374B1">
        <w:rPr>
          <w:rFonts w:asciiTheme="majorHAnsi" w:eastAsia="Constantia" w:hAnsiTheme="majorHAnsi" w:cs="Constantia"/>
          <w:b/>
          <w:sz w:val="24"/>
          <w:szCs w:val="24"/>
        </w:rPr>
        <w:t xml:space="preserve">N LA COMISIÓN PRIMERA </w:t>
      </w:r>
    </w:p>
    <w:p w14:paraId="49C5F7ED" w14:textId="482EF7FE" w:rsidR="00CC780A" w:rsidRPr="00F374B1" w:rsidRDefault="00CC780A" w:rsidP="00DF32BB">
      <w:pPr>
        <w:spacing w:after="0" w:line="240" w:lineRule="auto"/>
        <w:jc w:val="center"/>
        <w:rPr>
          <w:rFonts w:asciiTheme="majorHAnsi" w:eastAsia="Constantia" w:hAnsiTheme="majorHAnsi" w:cs="Constantia"/>
          <w:b/>
          <w:sz w:val="24"/>
          <w:szCs w:val="24"/>
        </w:rPr>
      </w:pPr>
      <w:r w:rsidRPr="00F374B1">
        <w:rPr>
          <w:rFonts w:asciiTheme="majorHAnsi" w:eastAsia="Constantia" w:hAnsiTheme="majorHAnsi" w:cs="Constantia"/>
          <w:b/>
          <w:sz w:val="24"/>
          <w:szCs w:val="24"/>
        </w:rPr>
        <w:t>D</w:t>
      </w:r>
      <w:r w:rsidR="0013623F" w:rsidRPr="00F374B1">
        <w:rPr>
          <w:rFonts w:asciiTheme="majorHAnsi" w:eastAsia="Constantia" w:hAnsiTheme="majorHAnsi" w:cs="Constantia"/>
          <w:b/>
          <w:sz w:val="24"/>
          <w:szCs w:val="24"/>
        </w:rPr>
        <w:t>E LA CÁMARA DE REPRESENTANTES</w:t>
      </w:r>
    </w:p>
    <w:p w14:paraId="1B51E576" w14:textId="6BF679C0" w:rsidR="00B9071B" w:rsidRPr="00F374B1" w:rsidRDefault="0013623F" w:rsidP="00A85AB1">
      <w:pPr>
        <w:spacing w:after="0" w:line="240" w:lineRule="auto"/>
        <w:jc w:val="center"/>
        <w:rPr>
          <w:rFonts w:asciiTheme="majorHAnsi" w:hAnsiTheme="majorHAnsi"/>
          <w:b/>
          <w:sz w:val="24"/>
          <w:szCs w:val="24"/>
        </w:rPr>
      </w:pPr>
      <w:r w:rsidRPr="00F374B1">
        <w:rPr>
          <w:rFonts w:asciiTheme="majorHAnsi" w:eastAsia="Constantia" w:hAnsiTheme="majorHAnsi" w:cs="Constantia"/>
          <w:b/>
          <w:sz w:val="24"/>
          <w:szCs w:val="24"/>
        </w:rPr>
        <w:t>AL</w:t>
      </w:r>
      <w:r w:rsidR="00DF32BB" w:rsidRPr="00F374B1">
        <w:rPr>
          <w:rFonts w:asciiTheme="majorHAnsi" w:eastAsia="Constantia" w:hAnsiTheme="majorHAnsi" w:cs="Constantia"/>
          <w:b/>
          <w:sz w:val="24"/>
          <w:szCs w:val="24"/>
        </w:rPr>
        <w:t xml:space="preserve"> PROYECTO DE </w:t>
      </w:r>
      <w:r w:rsidR="00BD4663" w:rsidRPr="00F374B1">
        <w:rPr>
          <w:rFonts w:asciiTheme="majorHAnsi" w:eastAsia="Bookman Old Style" w:hAnsiTheme="majorHAnsi" w:cs="Bookman Old Style"/>
          <w:b/>
          <w:sz w:val="24"/>
          <w:szCs w:val="24"/>
          <w:lang w:eastAsia="es-CO"/>
        </w:rPr>
        <w:t xml:space="preserve">LEY </w:t>
      </w:r>
      <w:r w:rsidR="00CC780A" w:rsidRPr="00F374B1">
        <w:rPr>
          <w:rFonts w:asciiTheme="majorHAnsi" w:eastAsia="Bookman Old Style" w:hAnsiTheme="majorHAnsi" w:cs="Bookman Old Style"/>
          <w:b/>
          <w:sz w:val="24"/>
          <w:szCs w:val="24"/>
          <w:lang w:eastAsia="es-CO"/>
        </w:rPr>
        <w:t>No.</w:t>
      </w:r>
      <w:r w:rsidR="00A85AB1" w:rsidRPr="00F374B1">
        <w:rPr>
          <w:rFonts w:asciiTheme="majorHAnsi" w:hAnsiTheme="majorHAnsi"/>
          <w:b/>
          <w:sz w:val="24"/>
          <w:szCs w:val="24"/>
        </w:rPr>
        <w:t xml:space="preserve"> </w:t>
      </w:r>
      <w:r w:rsidR="00B9071B" w:rsidRPr="00F374B1">
        <w:rPr>
          <w:rFonts w:asciiTheme="majorHAnsi" w:hAnsiTheme="majorHAnsi"/>
          <w:b/>
          <w:sz w:val="24"/>
          <w:szCs w:val="24"/>
        </w:rPr>
        <w:t xml:space="preserve">108 DE 2023 CÁMARA </w:t>
      </w:r>
    </w:p>
    <w:p w14:paraId="2FDCA254" w14:textId="77777777" w:rsidR="00B9071B" w:rsidRPr="00B9071B" w:rsidRDefault="00B9071B" w:rsidP="00B9071B">
      <w:pPr>
        <w:ind w:right="120"/>
        <w:jc w:val="center"/>
        <w:rPr>
          <w:rFonts w:asciiTheme="majorHAnsi" w:hAnsiTheme="majorHAnsi"/>
          <w:b/>
          <w:sz w:val="24"/>
          <w:szCs w:val="24"/>
        </w:rPr>
      </w:pPr>
    </w:p>
    <w:p w14:paraId="3E4C4EC7" w14:textId="35F17675" w:rsidR="00B9071B" w:rsidRDefault="00A85AB1" w:rsidP="00B9071B">
      <w:pPr>
        <w:ind w:right="120"/>
        <w:jc w:val="center"/>
        <w:rPr>
          <w:b/>
          <w:i/>
          <w:sz w:val="24"/>
          <w:szCs w:val="24"/>
        </w:rPr>
      </w:pPr>
      <w:r w:rsidRPr="00B9071B">
        <w:rPr>
          <w:rFonts w:asciiTheme="majorHAnsi" w:hAnsiTheme="majorHAnsi"/>
          <w:b/>
          <w:i/>
          <w:sz w:val="24"/>
          <w:szCs w:val="24"/>
        </w:rPr>
        <w:t>“P</w:t>
      </w:r>
      <w:r>
        <w:rPr>
          <w:b/>
          <w:i/>
          <w:sz w:val="24"/>
          <w:szCs w:val="24"/>
        </w:rPr>
        <w:t>OR MEDIO DE LA CUAL SE ASIGNAN COMPETENCIAS TRANSITORIAS A LA UNIDAD DE SERVICIOS PENITENCIARIOS Y CARCELARIOS EN MATERIA DE ALIMENTACIÓN PARA ATENDER SITUACIÓN HUMANITARIA EN CENTROS DE DETENCIÓN TRANSITORIA”.</w:t>
      </w:r>
      <w:r>
        <w:rPr>
          <w:b/>
          <w:sz w:val="24"/>
          <w:szCs w:val="24"/>
        </w:rPr>
        <w:t xml:space="preserve"> </w:t>
      </w:r>
    </w:p>
    <w:p w14:paraId="1076EF1A" w14:textId="77777777" w:rsidR="00B9071B" w:rsidRDefault="00B9071B" w:rsidP="00B9071B">
      <w:pPr>
        <w:rPr>
          <w:b/>
          <w:i/>
          <w:sz w:val="24"/>
          <w:szCs w:val="24"/>
        </w:rPr>
      </w:pPr>
      <w:bookmarkStart w:id="0" w:name="_heading=h.podx5skqc0xp" w:colFirst="0" w:colLast="0"/>
      <w:bookmarkEnd w:id="0"/>
    </w:p>
    <w:p w14:paraId="3DBF84DF" w14:textId="204962CF" w:rsidR="00B9071B" w:rsidRDefault="00A85AB1" w:rsidP="00B9071B">
      <w:pPr>
        <w:ind w:left="-420" w:right="-380"/>
        <w:jc w:val="center"/>
        <w:rPr>
          <w:b/>
          <w:color w:val="0D0D0D"/>
        </w:rPr>
      </w:pPr>
      <w:r>
        <w:rPr>
          <w:b/>
          <w:color w:val="0D0D0D"/>
        </w:rPr>
        <w:t>EL CONGRESO DE COLOMBIA,</w:t>
      </w:r>
    </w:p>
    <w:p w14:paraId="77594356" w14:textId="1C0E6B7F" w:rsidR="00B9071B" w:rsidRDefault="00A85AB1" w:rsidP="00B9071B">
      <w:pPr>
        <w:ind w:left="-420" w:right="-380"/>
        <w:jc w:val="center"/>
        <w:rPr>
          <w:b/>
          <w:color w:val="0D0D0D"/>
        </w:rPr>
      </w:pPr>
      <w:r>
        <w:rPr>
          <w:b/>
          <w:color w:val="0D0D0D"/>
        </w:rPr>
        <w:t xml:space="preserve"> </w:t>
      </w:r>
    </w:p>
    <w:p w14:paraId="367942C3" w14:textId="2F61CC51" w:rsidR="00B9071B" w:rsidRDefault="00A85AB1" w:rsidP="00B9071B">
      <w:pPr>
        <w:ind w:left="-420" w:right="-380"/>
        <w:jc w:val="center"/>
        <w:rPr>
          <w:b/>
          <w:color w:val="0D0D0D"/>
        </w:rPr>
      </w:pPr>
      <w:r>
        <w:rPr>
          <w:b/>
          <w:color w:val="0D0D0D"/>
        </w:rPr>
        <w:t>DECRETA:</w:t>
      </w:r>
    </w:p>
    <w:p w14:paraId="65030AE1" w14:textId="77777777" w:rsidR="00B9071B" w:rsidRDefault="00B9071B" w:rsidP="00B9071B">
      <w:pPr>
        <w:jc w:val="both"/>
        <w:rPr>
          <w:sz w:val="24"/>
          <w:szCs w:val="24"/>
        </w:rPr>
      </w:pPr>
    </w:p>
    <w:p w14:paraId="40C543FD" w14:textId="77777777" w:rsidR="00B9071B" w:rsidRDefault="00B9071B" w:rsidP="00B9071B">
      <w:pPr>
        <w:jc w:val="both"/>
        <w:rPr>
          <w:sz w:val="24"/>
          <w:szCs w:val="24"/>
        </w:rPr>
      </w:pPr>
      <w:r>
        <w:rPr>
          <w:b/>
          <w:sz w:val="24"/>
          <w:szCs w:val="24"/>
        </w:rPr>
        <w:t xml:space="preserve">Artículo 1. Objeto. </w:t>
      </w:r>
      <w:r>
        <w:rPr>
          <w:sz w:val="24"/>
          <w:szCs w:val="24"/>
        </w:rPr>
        <w:t xml:space="preserve"> La presente Ley tiene por objeto crear un marco normativo transitorio para que las entidades territoriales, obligadas a brindar la alimentación a personas privadas de la libertad en centros de detención transitoria cuenten con un marco temporal suficiente para planear los aspectos presupuestales y contractuales para asegurar la prestación de este servicio.</w:t>
      </w:r>
    </w:p>
    <w:p w14:paraId="6ACE0A1D" w14:textId="77777777" w:rsidR="00B9071B" w:rsidRDefault="00B9071B" w:rsidP="00B9071B">
      <w:pPr>
        <w:jc w:val="both"/>
        <w:rPr>
          <w:b/>
          <w:sz w:val="24"/>
          <w:szCs w:val="24"/>
        </w:rPr>
      </w:pPr>
    </w:p>
    <w:p w14:paraId="7D66E621" w14:textId="77777777" w:rsidR="00B9071B" w:rsidRDefault="00B9071B" w:rsidP="00B9071B">
      <w:pPr>
        <w:jc w:val="both"/>
        <w:rPr>
          <w:sz w:val="24"/>
          <w:szCs w:val="24"/>
        </w:rPr>
      </w:pPr>
      <w:r>
        <w:rPr>
          <w:b/>
          <w:sz w:val="24"/>
          <w:szCs w:val="24"/>
        </w:rPr>
        <w:t xml:space="preserve">Artículo 2. Facultad provisional para continuar prestando el servicio de alimentación en centros de detención transitoria por parte de la USPEC. </w:t>
      </w:r>
      <w:r>
        <w:rPr>
          <w:sz w:val="24"/>
          <w:szCs w:val="24"/>
        </w:rPr>
        <w:t xml:space="preserve"> ADICIÓNESE un parágrafo transitorio al artículo 67 de la Ley 65 de 1993, el cual quedará así:</w:t>
      </w:r>
    </w:p>
    <w:p w14:paraId="6F9779E5" w14:textId="77777777" w:rsidR="00B9071B" w:rsidRDefault="00B9071B" w:rsidP="00B9071B">
      <w:pPr>
        <w:jc w:val="both"/>
        <w:rPr>
          <w:sz w:val="24"/>
          <w:szCs w:val="24"/>
        </w:rPr>
      </w:pPr>
    </w:p>
    <w:p w14:paraId="212C346A" w14:textId="42A86830" w:rsidR="00B9071B" w:rsidRDefault="00B9071B" w:rsidP="00B9071B">
      <w:pPr>
        <w:jc w:val="both"/>
        <w:rPr>
          <w:sz w:val="24"/>
          <w:szCs w:val="24"/>
        </w:rPr>
      </w:pPr>
      <w:r>
        <w:rPr>
          <w:b/>
          <w:sz w:val="24"/>
          <w:szCs w:val="24"/>
        </w:rPr>
        <w:t>Parágrafo transitorio.</w:t>
      </w:r>
      <w:r w:rsidR="00A85AB1">
        <w:rPr>
          <w:sz w:val="24"/>
          <w:szCs w:val="24"/>
        </w:rPr>
        <w:t xml:space="preserve"> Hasta el 30 de junio de 2025</w:t>
      </w:r>
      <w:r>
        <w:rPr>
          <w:sz w:val="24"/>
          <w:szCs w:val="24"/>
        </w:rPr>
        <w:t xml:space="preserve">, la USPEC podrá continuar brindando el servicio de alimentación para personas privadas de la libertad que se encuentren recluidas en centros de detención transitoria en los lugares donde venía prestando el servicio. Vencido este plazo, este servicio deberá ser asumido definitivamente por las entidades territoriales, en los términos de la Sentencia SU -122 de 2022 de la Corte Constitucional. </w:t>
      </w:r>
    </w:p>
    <w:p w14:paraId="37E3817A" w14:textId="77777777" w:rsidR="00B9071B" w:rsidRDefault="00B9071B" w:rsidP="00B9071B">
      <w:pPr>
        <w:jc w:val="both"/>
        <w:rPr>
          <w:sz w:val="24"/>
          <w:szCs w:val="24"/>
        </w:rPr>
      </w:pPr>
    </w:p>
    <w:p w14:paraId="2B03BCCD" w14:textId="77777777" w:rsidR="00B9071B" w:rsidRDefault="00B9071B" w:rsidP="00B9071B">
      <w:pPr>
        <w:jc w:val="both"/>
        <w:rPr>
          <w:sz w:val="24"/>
          <w:szCs w:val="24"/>
        </w:rPr>
      </w:pPr>
    </w:p>
    <w:p w14:paraId="60A0F2A4" w14:textId="77777777" w:rsidR="00816170" w:rsidRDefault="00B9071B" w:rsidP="00B9071B">
      <w:pPr>
        <w:jc w:val="both"/>
        <w:rPr>
          <w:sz w:val="24"/>
          <w:szCs w:val="24"/>
        </w:rPr>
      </w:pPr>
      <w:r>
        <w:rPr>
          <w:b/>
          <w:sz w:val="24"/>
          <w:szCs w:val="24"/>
        </w:rPr>
        <w:t xml:space="preserve">Artículo 3. </w:t>
      </w:r>
      <w:r w:rsidR="00A85AB1">
        <w:rPr>
          <w:b/>
          <w:sz w:val="24"/>
          <w:szCs w:val="24"/>
        </w:rPr>
        <w:t xml:space="preserve">Financiación de Obligaciones. </w:t>
      </w:r>
      <w:r w:rsidR="00A85AB1" w:rsidRPr="00A85AB1">
        <w:rPr>
          <w:sz w:val="24"/>
          <w:szCs w:val="24"/>
        </w:rPr>
        <w:t>El Ministerio de Justicia y del Derecho promoverá</w:t>
      </w:r>
      <w:r w:rsidR="00816170">
        <w:rPr>
          <w:sz w:val="24"/>
          <w:szCs w:val="24"/>
        </w:rPr>
        <w:t xml:space="preserve"> la aprobación de un documento CONPES donde se establezcan las alternativas que tienen los entes territoriales para garantizar la financiación de las obligaciones contenidas en los artículos 17 a 19 de la Ley 65 de 1993.</w:t>
      </w:r>
    </w:p>
    <w:p w14:paraId="3F33A2D1" w14:textId="5B199896" w:rsidR="00816170" w:rsidRDefault="00816170" w:rsidP="00B9071B">
      <w:pPr>
        <w:jc w:val="both"/>
        <w:rPr>
          <w:sz w:val="24"/>
          <w:szCs w:val="24"/>
        </w:rPr>
      </w:pPr>
      <w:r>
        <w:rPr>
          <w:sz w:val="24"/>
          <w:szCs w:val="24"/>
        </w:rPr>
        <w:t>Los recursos para el financiami</w:t>
      </w:r>
      <w:r w:rsidR="00F25438">
        <w:rPr>
          <w:sz w:val="24"/>
          <w:szCs w:val="24"/>
        </w:rPr>
        <w:t>e</w:t>
      </w:r>
      <w:r>
        <w:rPr>
          <w:sz w:val="24"/>
          <w:szCs w:val="24"/>
        </w:rPr>
        <w:t>nto de que habla el presente artículo provendrán del Presupuesto General de la Nación.</w:t>
      </w:r>
    </w:p>
    <w:p w14:paraId="3644E6AE" w14:textId="77777777" w:rsidR="00F374B1" w:rsidRDefault="00F374B1" w:rsidP="00B9071B">
      <w:pPr>
        <w:jc w:val="both"/>
        <w:rPr>
          <w:b/>
          <w:sz w:val="24"/>
          <w:szCs w:val="24"/>
        </w:rPr>
      </w:pPr>
    </w:p>
    <w:p w14:paraId="2F4B68CB" w14:textId="1052A79F" w:rsidR="00A85AB1" w:rsidRPr="00A85AB1" w:rsidRDefault="00481881" w:rsidP="00B9071B">
      <w:pPr>
        <w:jc w:val="both"/>
        <w:rPr>
          <w:sz w:val="24"/>
          <w:szCs w:val="24"/>
        </w:rPr>
      </w:pPr>
      <w:r>
        <w:rPr>
          <w:b/>
          <w:sz w:val="24"/>
          <w:szCs w:val="24"/>
        </w:rPr>
        <w:t>PARÁGRAFO</w:t>
      </w:r>
      <w:bookmarkStart w:id="1" w:name="_GoBack"/>
      <w:bookmarkEnd w:id="1"/>
      <w:r w:rsidR="00816170" w:rsidRPr="00F25438">
        <w:rPr>
          <w:b/>
          <w:sz w:val="24"/>
          <w:szCs w:val="24"/>
        </w:rPr>
        <w:t>.</w:t>
      </w:r>
      <w:r w:rsidR="00F25438" w:rsidRPr="00F25438">
        <w:rPr>
          <w:b/>
          <w:sz w:val="24"/>
          <w:szCs w:val="24"/>
        </w:rPr>
        <w:t xml:space="preserve"> </w:t>
      </w:r>
      <w:r w:rsidR="00F25438">
        <w:rPr>
          <w:sz w:val="24"/>
          <w:szCs w:val="24"/>
        </w:rPr>
        <w:t>El Ministerio de Justicia y del Derecho, desarrollará un proceso de formación y adecuación de las instituciones que desde los entes territoriales atienden o atenderán el funcionamiento de los centros carcelarios que estarán a cargo de éstos, adecuándolos a la política general carcelaria y a las obligaciones nacionales e internacionales en materia de Derechos Humanos.</w:t>
      </w:r>
      <w:r w:rsidR="00816170">
        <w:rPr>
          <w:sz w:val="24"/>
          <w:szCs w:val="24"/>
        </w:rPr>
        <w:t xml:space="preserve"> </w:t>
      </w:r>
      <w:r w:rsidR="00A85AB1" w:rsidRPr="00A85AB1">
        <w:rPr>
          <w:sz w:val="24"/>
          <w:szCs w:val="24"/>
        </w:rPr>
        <w:t xml:space="preserve"> </w:t>
      </w:r>
    </w:p>
    <w:p w14:paraId="49EB3E20" w14:textId="77777777" w:rsidR="00A85AB1" w:rsidRPr="00A85AB1" w:rsidRDefault="00A85AB1" w:rsidP="00B9071B">
      <w:pPr>
        <w:jc w:val="both"/>
        <w:rPr>
          <w:sz w:val="24"/>
          <w:szCs w:val="24"/>
        </w:rPr>
      </w:pPr>
    </w:p>
    <w:p w14:paraId="6DD06BFA" w14:textId="66C6F4E4" w:rsidR="00A85AB1" w:rsidRDefault="00A85AB1" w:rsidP="00A85AB1">
      <w:pPr>
        <w:jc w:val="both"/>
        <w:rPr>
          <w:b/>
          <w:sz w:val="24"/>
          <w:szCs w:val="24"/>
        </w:rPr>
      </w:pPr>
      <w:r>
        <w:rPr>
          <w:b/>
          <w:sz w:val="24"/>
          <w:szCs w:val="24"/>
        </w:rPr>
        <w:t xml:space="preserve">Artículo 4. Vigencia. </w:t>
      </w:r>
      <w:r>
        <w:rPr>
          <w:sz w:val="24"/>
          <w:szCs w:val="24"/>
        </w:rPr>
        <w:t>La presente Ley rige a partir de su promulgación.</w:t>
      </w:r>
      <w:r>
        <w:rPr>
          <w:b/>
          <w:sz w:val="24"/>
          <w:szCs w:val="24"/>
        </w:rPr>
        <w:t xml:space="preserve"> </w:t>
      </w:r>
    </w:p>
    <w:p w14:paraId="3B736A55" w14:textId="77777777" w:rsidR="00B9071B" w:rsidRDefault="00B9071B" w:rsidP="00B9071B">
      <w:pPr>
        <w:jc w:val="both"/>
        <w:rPr>
          <w:b/>
          <w:sz w:val="24"/>
          <w:szCs w:val="24"/>
        </w:rPr>
      </w:pPr>
    </w:p>
    <w:p w14:paraId="1C4920C1" w14:textId="77777777" w:rsidR="00E15259" w:rsidRPr="00B9071B" w:rsidRDefault="00E15259" w:rsidP="009D61BE">
      <w:pPr>
        <w:spacing w:before="60" w:after="60"/>
        <w:jc w:val="both"/>
        <w:rPr>
          <w:rFonts w:ascii="Calibri Light" w:hAnsi="Calibri Light" w:cs="Times New Roman"/>
          <w:sz w:val="24"/>
          <w:szCs w:val="24"/>
        </w:rPr>
      </w:pPr>
    </w:p>
    <w:p w14:paraId="563073C8" w14:textId="5A40B7CF" w:rsidR="00DE0F69" w:rsidRPr="00B9071B" w:rsidRDefault="005C1623" w:rsidP="00DE0F69">
      <w:pPr>
        <w:jc w:val="both"/>
        <w:rPr>
          <w:rFonts w:ascii="Calibri Light" w:eastAsia="Times New Roman" w:hAnsi="Calibri Light" w:cs="Times New Roman"/>
          <w:b/>
          <w:sz w:val="24"/>
          <w:szCs w:val="24"/>
          <w:lang w:eastAsia="es-CO"/>
        </w:rPr>
      </w:pPr>
      <w:r w:rsidRPr="00B9071B">
        <w:rPr>
          <w:rFonts w:ascii="Calibri Light" w:hAnsi="Calibri Light" w:cs="Times New Roman"/>
          <w:sz w:val="24"/>
          <w:szCs w:val="24"/>
        </w:rPr>
        <w:t>E</w:t>
      </w:r>
      <w:r w:rsidR="00DE0F69" w:rsidRPr="00B9071B">
        <w:rPr>
          <w:rFonts w:ascii="Calibri Light" w:hAnsi="Calibri Light" w:cs="Times New Roman"/>
          <w:sz w:val="24"/>
          <w:szCs w:val="24"/>
        </w:rPr>
        <w:t>n</w:t>
      </w:r>
      <w:r w:rsidR="00DE0F69" w:rsidRPr="00B9071B">
        <w:rPr>
          <w:rFonts w:ascii="Calibri Light" w:hAnsi="Calibri Light" w:cs="Times New Roman"/>
          <w:sz w:val="24"/>
          <w:szCs w:val="24"/>
          <w:lang w:val="es-ES" w:eastAsia="es-ES"/>
        </w:rPr>
        <w:t xml:space="preserve"> los anteriores términos fue aprobado con modifi</w:t>
      </w:r>
      <w:r w:rsidR="003B7C49" w:rsidRPr="00B9071B">
        <w:rPr>
          <w:rFonts w:ascii="Calibri Light" w:hAnsi="Calibri Light" w:cs="Times New Roman"/>
          <w:sz w:val="24"/>
          <w:szCs w:val="24"/>
          <w:lang w:val="es-ES" w:eastAsia="es-ES"/>
        </w:rPr>
        <w:t>caci</w:t>
      </w:r>
      <w:r w:rsidR="00232830" w:rsidRPr="00B9071B">
        <w:rPr>
          <w:rFonts w:ascii="Calibri Light" w:hAnsi="Calibri Light" w:cs="Times New Roman"/>
          <w:sz w:val="24"/>
          <w:szCs w:val="24"/>
          <w:lang w:val="es-ES" w:eastAsia="es-ES"/>
        </w:rPr>
        <w:t>ones el presente Proyecto de</w:t>
      </w:r>
      <w:r w:rsidR="00E15259" w:rsidRPr="00B9071B">
        <w:rPr>
          <w:rFonts w:ascii="Calibri Light" w:hAnsi="Calibri Light" w:cs="Times New Roman"/>
          <w:sz w:val="24"/>
          <w:szCs w:val="24"/>
          <w:lang w:val="es-ES" w:eastAsia="es-ES"/>
        </w:rPr>
        <w:t xml:space="preserve"> </w:t>
      </w:r>
      <w:r w:rsidR="00232830" w:rsidRPr="00B9071B">
        <w:rPr>
          <w:rFonts w:ascii="Calibri Light" w:hAnsi="Calibri Light" w:cs="Times New Roman"/>
          <w:sz w:val="24"/>
          <w:szCs w:val="24"/>
          <w:lang w:val="es-ES" w:eastAsia="es-ES"/>
        </w:rPr>
        <w:t xml:space="preserve"> </w:t>
      </w:r>
      <w:r w:rsidR="00E15259" w:rsidRPr="00B9071B">
        <w:rPr>
          <w:rFonts w:ascii="Calibri Light" w:hAnsi="Calibri Light" w:cs="Times New Roman"/>
          <w:sz w:val="24"/>
          <w:szCs w:val="24"/>
          <w:lang w:val="es-ES" w:eastAsia="es-ES"/>
        </w:rPr>
        <w:t>Ley</w:t>
      </w:r>
      <w:r w:rsidR="00232830" w:rsidRPr="00B9071B">
        <w:rPr>
          <w:rFonts w:ascii="Calibri Light" w:hAnsi="Calibri Light" w:cs="Times New Roman"/>
          <w:sz w:val="24"/>
          <w:szCs w:val="24"/>
          <w:lang w:val="es-ES" w:eastAsia="es-ES"/>
        </w:rPr>
        <w:t xml:space="preserve"> según consta en Acta</w:t>
      </w:r>
      <w:r w:rsidR="00E15259" w:rsidRPr="00B9071B">
        <w:rPr>
          <w:rFonts w:ascii="Calibri Light" w:hAnsi="Calibri Light" w:cs="Times New Roman"/>
          <w:sz w:val="24"/>
          <w:szCs w:val="24"/>
          <w:lang w:val="es-ES" w:eastAsia="es-ES"/>
        </w:rPr>
        <w:t xml:space="preserve"> No. </w:t>
      </w:r>
      <w:r w:rsidR="00E32384">
        <w:rPr>
          <w:rFonts w:ascii="Calibri Light" w:hAnsi="Calibri Light" w:cs="Times New Roman"/>
          <w:sz w:val="24"/>
          <w:szCs w:val="24"/>
          <w:lang w:val="es-ES" w:eastAsia="es-ES"/>
        </w:rPr>
        <w:t>11</w:t>
      </w:r>
      <w:r w:rsidR="00AB2053" w:rsidRPr="00B9071B">
        <w:rPr>
          <w:rFonts w:ascii="Calibri Light" w:hAnsi="Calibri Light" w:cs="Times New Roman"/>
          <w:sz w:val="24"/>
          <w:szCs w:val="24"/>
          <w:lang w:val="es-ES" w:eastAsia="es-ES"/>
        </w:rPr>
        <w:t xml:space="preserve"> de Sesión de </w:t>
      </w:r>
      <w:r w:rsidR="00E32384">
        <w:rPr>
          <w:rFonts w:ascii="Calibri Light" w:hAnsi="Calibri Light" w:cs="Times New Roman"/>
          <w:sz w:val="24"/>
          <w:szCs w:val="24"/>
          <w:lang w:val="es-ES" w:eastAsia="es-ES"/>
        </w:rPr>
        <w:t xml:space="preserve">Septiembre 06 </w:t>
      </w:r>
      <w:r w:rsidR="009501D7" w:rsidRPr="00B9071B">
        <w:rPr>
          <w:rFonts w:ascii="Calibri Light" w:hAnsi="Calibri Light" w:cs="Times New Roman"/>
          <w:sz w:val="24"/>
          <w:szCs w:val="24"/>
          <w:lang w:val="es-ES" w:eastAsia="es-ES"/>
        </w:rPr>
        <w:t>de</w:t>
      </w:r>
      <w:r w:rsidR="00B82098" w:rsidRPr="00B9071B">
        <w:rPr>
          <w:rFonts w:ascii="Calibri Light" w:hAnsi="Calibri Light" w:cs="Times New Roman"/>
          <w:sz w:val="24"/>
          <w:szCs w:val="24"/>
          <w:lang w:val="es-ES" w:eastAsia="es-ES"/>
        </w:rPr>
        <w:t xml:space="preserve"> 202</w:t>
      </w:r>
      <w:r w:rsidR="009D61BE" w:rsidRPr="00B9071B">
        <w:rPr>
          <w:rFonts w:ascii="Calibri Light" w:hAnsi="Calibri Light" w:cs="Times New Roman"/>
          <w:sz w:val="24"/>
          <w:szCs w:val="24"/>
          <w:lang w:val="es-ES" w:eastAsia="es-ES"/>
        </w:rPr>
        <w:t>3</w:t>
      </w:r>
      <w:r w:rsidR="00561E5C" w:rsidRPr="00B9071B">
        <w:rPr>
          <w:rFonts w:ascii="Calibri Light" w:hAnsi="Calibri Light" w:cs="Times New Roman"/>
          <w:sz w:val="24"/>
          <w:szCs w:val="24"/>
          <w:lang w:val="es-ES" w:eastAsia="es-ES"/>
        </w:rPr>
        <w:t>.</w:t>
      </w:r>
      <w:r w:rsidR="00DD1ABA" w:rsidRPr="00B9071B">
        <w:rPr>
          <w:rFonts w:ascii="Calibri Light" w:hAnsi="Calibri Light" w:cs="Times New Roman"/>
          <w:sz w:val="24"/>
          <w:szCs w:val="24"/>
          <w:lang w:val="es-ES" w:eastAsia="es-ES"/>
        </w:rPr>
        <w:t xml:space="preserve"> Anunciado </w:t>
      </w:r>
      <w:r w:rsidR="00232830" w:rsidRPr="00B9071B">
        <w:rPr>
          <w:rFonts w:ascii="Calibri Light" w:hAnsi="Calibri Light" w:cs="Times New Roman"/>
          <w:sz w:val="24"/>
          <w:szCs w:val="24"/>
          <w:lang w:val="es-ES" w:eastAsia="es-ES"/>
        </w:rPr>
        <w:t xml:space="preserve">entre otras fechas </w:t>
      </w:r>
      <w:r w:rsidR="00DE0F69" w:rsidRPr="00B9071B">
        <w:rPr>
          <w:rFonts w:ascii="Calibri Light" w:hAnsi="Calibri Light" w:cs="Times New Roman"/>
          <w:sz w:val="24"/>
          <w:szCs w:val="24"/>
          <w:lang w:val="es-ES" w:eastAsia="es-ES"/>
        </w:rPr>
        <w:t xml:space="preserve">el </w:t>
      </w:r>
      <w:r w:rsidR="00E32384">
        <w:rPr>
          <w:rFonts w:ascii="Calibri Light" w:hAnsi="Calibri Light" w:cs="Times New Roman"/>
          <w:sz w:val="24"/>
          <w:szCs w:val="24"/>
          <w:lang w:val="es-ES" w:eastAsia="es-ES"/>
        </w:rPr>
        <w:t xml:space="preserve">05 Septiembre </w:t>
      </w:r>
      <w:r w:rsidR="00DE0F69" w:rsidRPr="00B9071B">
        <w:rPr>
          <w:rFonts w:ascii="Calibri Light" w:hAnsi="Calibri Light" w:cs="Times New Roman"/>
          <w:sz w:val="24"/>
          <w:szCs w:val="24"/>
          <w:lang w:val="es-ES" w:eastAsia="es-ES"/>
        </w:rPr>
        <w:t>de 202</w:t>
      </w:r>
      <w:r w:rsidR="009D61BE" w:rsidRPr="00B9071B">
        <w:rPr>
          <w:rFonts w:ascii="Calibri Light" w:hAnsi="Calibri Light" w:cs="Times New Roman"/>
          <w:sz w:val="24"/>
          <w:szCs w:val="24"/>
          <w:lang w:val="es-ES" w:eastAsia="es-ES"/>
        </w:rPr>
        <w:t>3</w:t>
      </w:r>
      <w:r w:rsidR="001325C5" w:rsidRPr="00B9071B">
        <w:rPr>
          <w:rFonts w:ascii="Calibri Light" w:hAnsi="Calibri Light" w:cs="Times New Roman"/>
          <w:sz w:val="24"/>
          <w:szCs w:val="24"/>
          <w:lang w:val="es-ES" w:eastAsia="es-ES"/>
        </w:rPr>
        <w:t xml:space="preserve"> según consta en Acta No.</w:t>
      </w:r>
      <w:r w:rsidR="00E15259" w:rsidRPr="00B9071B">
        <w:rPr>
          <w:rFonts w:ascii="Calibri Light" w:hAnsi="Calibri Light" w:cs="Times New Roman"/>
          <w:sz w:val="24"/>
          <w:szCs w:val="24"/>
          <w:lang w:val="es-ES" w:eastAsia="es-ES"/>
        </w:rPr>
        <w:t xml:space="preserve"> </w:t>
      </w:r>
      <w:r w:rsidR="00E32384">
        <w:rPr>
          <w:rFonts w:ascii="Calibri Light" w:hAnsi="Calibri Light" w:cs="Times New Roman"/>
          <w:sz w:val="24"/>
          <w:szCs w:val="24"/>
          <w:lang w:val="es-ES" w:eastAsia="es-ES"/>
        </w:rPr>
        <w:t>10</w:t>
      </w:r>
      <w:r w:rsidR="009D61BE" w:rsidRPr="00B9071B">
        <w:rPr>
          <w:rFonts w:ascii="Calibri Light" w:hAnsi="Calibri Light" w:cs="Times New Roman"/>
          <w:sz w:val="24"/>
          <w:szCs w:val="24"/>
          <w:lang w:val="es-ES" w:eastAsia="es-ES"/>
        </w:rPr>
        <w:t>.</w:t>
      </w:r>
    </w:p>
    <w:p w14:paraId="46F4DA47" w14:textId="77777777" w:rsidR="006F287E" w:rsidRPr="00B9071B" w:rsidRDefault="006F287E" w:rsidP="00ED247F">
      <w:pPr>
        <w:spacing w:after="0" w:line="240" w:lineRule="auto"/>
        <w:jc w:val="both"/>
        <w:rPr>
          <w:rFonts w:ascii="Calibri Light" w:eastAsia="Times New Roman" w:hAnsi="Calibri Light" w:cs="Times New Roman"/>
          <w:b/>
          <w:sz w:val="24"/>
          <w:szCs w:val="24"/>
          <w:lang w:eastAsia="es-CO"/>
        </w:rPr>
      </w:pPr>
    </w:p>
    <w:p w14:paraId="1D25F774" w14:textId="77777777" w:rsidR="00091958" w:rsidRPr="00B9071B" w:rsidRDefault="00091958" w:rsidP="00ED247F">
      <w:pPr>
        <w:spacing w:after="0" w:line="240" w:lineRule="auto"/>
        <w:jc w:val="both"/>
        <w:rPr>
          <w:rFonts w:ascii="Calibri Light" w:eastAsia="Times New Roman" w:hAnsi="Calibri Light" w:cs="Times New Roman"/>
          <w:b/>
          <w:sz w:val="24"/>
          <w:szCs w:val="24"/>
          <w:lang w:eastAsia="es-CO"/>
        </w:rPr>
      </w:pPr>
    </w:p>
    <w:p w14:paraId="23DF0194" w14:textId="77777777" w:rsidR="00A5515D" w:rsidRPr="00B9071B" w:rsidRDefault="00A5515D" w:rsidP="00ED247F">
      <w:pPr>
        <w:spacing w:after="0" w:line="240" w:lineRule="auto"/>
        <w:jc w:val="both"/>
        <w:rPr>
          <w:rFonts w:ascii="Calibri Light" w:eastAsia="Times New Roman" w:hAnsi="Calibri Light" w:cs="Times New Roman"/>
          <w:b/>
          <w:sz w:val="24"/>
          <w:szCs w:val="24"/>
          <w:lang w:eastAsia="es-CO"/>
        </w:rPr>
      </w:pPr>
    </w:p>
    <w:p w14:paraId="5492EB97" w14:textId="77777777" w:rsidR="00091958" w:rsidRPr="00B9071B" w:rsidRDefault="00091958" w:rsidP="00ED247F">
      <w:pPr>
        <w:spacing w:after="0" w:line="240" w:lineRule="auto"/>
        <w:jc w:val="both"/>
        <w:rPr>
          <w:rFonts w:ascii="Calibri Light" w:eastAsia="Times New Roman" w:hAnsi="Calibri Light" w:cs="Times New Roman"/>
          <w:b/>
          <w:sz w:val="24"/>
          <w:szCs w:val="24"/>
          <w:lang w:eastAsia="es-CO"/>
        </w:rPr>
      </w:pPr>
    </w:p>
    <w:p w14:paraId="608C17A5" w14:textId="0E1D0B51" w:rsidR="00ED247F" w:rsidRPr="00B9071B" w:rsidRDefault="00E32384" w:rsidP="00ED247F">
      <w:pPr>
        <w:spacing w:after="0" w:line="240" w:lineRule="auto"/>
        <w:jc w:val="both"/>
        <w:rPr>
          <w:rFonts w:ascii="Calibri Light" w:eastAsia="Times New Roman" w:hAnsi="Calibri Light" w:cs="Times New Roman"/>
          <w:b/>
          <w:sz w:val="24"/>
          <w:szCs w:val="24"/>
          <w:lang w:eastAsia="es-CO"/>
        </w:rPr>
      </w:pPr>
      <w:r>
        <w:rPr>
          <w:rFonts w:ascii="Calibri Light" w:eastAsia="Times New Roman" w:hAnsi="Calibri Light" w:cs="Times New Roman"/>
          <w:b/>
          <w:sz w:val="24"/>
          <w:szCs w:val="24"/>
          <w:lang w:eastAsia="es-CO"/>
        </w:rPr>
        <w:t>PIEDAD CORREAL RUBIANO</w:t>
      </w:r>
      <w:r w:rsidR="007D16A6" w:rsidRPr="00B9071B">
        <w:rPr>
          <w:rFonts w:ascii="Calibri Light" w:eastAsia="Times New Roman" w:hAnsi="Calibri Light" w:cs="Times New Roman"/>
          <w:b/>
          <w:sz w:val="24"/>
          <w:szCs w:val="24"/>
          <w:lang w:eastAsia="es-CO"/>
        </w:rPr>
        <w:t xml:space="preserve">    </w:t>
      </w:r>
      <w:r>
        <w:rPr>
          <w:rFonts w:ascii="Calibri Light" w:eastAsia="Times New Roman" w:hAnsi="Calibri Light" w:cs="Times New Roman"/>
          <w:b/>
          <w:sz w:val="24"/>
          <w:szCs w:val="24"/>
          <w:lang w:eastAsia="es-CO"/>
        </w:rPr>
        <w:tab/>
      </w:r>
      <w:r w:rsidR="007D16A6" w:rsidRPr="00B9071B">
        <w:rPr>
          <w:rFonts w:ascii="Calibri Light" w:eastAsia="Times New Roman" w:hAnsi="Calibri Light" w:cs="Times New Roman"/>
          <w:b/>
          <w:sz w:val="24"/>
          <w:szCs w:val="24"/>
          <w:lang w:eastAsia="es-CO"/>
        </w:rPr>
        <w:t xml:space="preserve">  </w:t>
      </w:r>
      <w:r w:rsidR="008A4CF1" w:rsidRPr="00B9071B">
        <w:rPr>
          <w:rFonts w:ascii="Calibri Light" w:eastAsia="Times New Roman" w:hAnsi="Calibri Light" w:cs="Times New Roman"/>
          <w:b/>
          <w:sz w:val="24"/>
          <w:szCs w:val="24"/>
          <w:lang w:eastAsia="es-CO"/>
        </w:rPr>
        <w:t xml:space="preserve"> </w:t>
      </w:r>
      <w:r w:rsidR="00E15259" w:rsidRPr="00B9071B">
        <w:rPr>
          <w:rFonts w:ascii="Calibri Light" w:eastAsia="Times New Roman" w:hAnsi="Calibri Light" w:cs="Times New Roman"/>
          <w:b/>
          <w:sz w:val="24"/>
          <w:szCs w:val="24"/>
          <w:lang w:eastAsia="es-CO"/>
        </w:rPr>
        <w:tab/>
      </w:r>
      <w:r w:rsidR="009D61BE" w:rsidRPr="00B9071B">
        <w:rPr>
          <w:rFonts w:ascii="Calibri Light" w:eastAsia="Times New Roman" w:hAnsi="Calibri Light" w:cs="Times New Roman"/>
          <w:b/>
          <w:sz w:val="24"/>
          <w:szCs w:val="24"/>
          <w:lang w:eastAsia="es-CO"/>
        </w:rPr>
        <w:t>ÓSCAR HERNÁN SÁNCHEZ LEÓN</w:t>
      </w:r>
    </w:p>
    <w:p w14:paraId="75139BE4" w14:textId="0B47D408" w:rsidR="00ED247F" w:rsidRPr="00B9071B" w:rsidRDefault="003B5426" w:rsidP="00ED247F">
      <w:pPr>
        <w:spacing w:after="0" w:line="240" w:lineRule="auto"/>
        <w:jc w:val="both"/>
        <w:rPr>
          <w:rFonts w:ascii="Calibri Light" w:eastAsia="Times New Roman" w:hAnsi="Calibri Light" w:cs="Times New Roman"/>
          <w:sz w:val="24"/>
          <w:szCs w:val="24"/>
          <w:lang w:eastAsia="es-CO"/>
        </w:rPr>
      </w:pPr>
      <w:r w:rsidRPr="00B9071B">
        <w:rPr>
          <w:rFonts w:ascii="Calibri Light" w:eastAsia="Times New Roman" w:hAnsi="Calibri Light" w:cs="Times New Roman"/>
          <w:sz w:val="24"/>
          <w:szCs w:val="24"/>
          <w:lang w:eastAsia="es-CO"/>
        </w:rPr>
        <w:t>Ponente C</w:t>
      </w:r>
      <w:r w:rsidR="00ED247F" w:rsidRPr="00B9071B">
        <w:rPr>
          <w:rFonts w:ascii="Calibri Light" w:eastAsia="Times New Roman" w:hAnsi="Calibri Light" w:cs="Times New Roman"/>
          <w:sz w:val="24"/>
          <w:szCs w:val="24"/>
          <w:lang w:eastAsia="es-CO"/>
        </w:rPr>
        <w:t>oordinador</w:t>
      </w:r>
      <w:r w:rsidR="00E32384">
        <w:rPr>
          <w:rFonts w:ascii="Calibri Light" w:eastAsia="Times New Roman" w:hAnsi="Calibri Light" w:cs="Times New Roman"/>
          <w:sz w:val="24"/>
          <w:szCs w:val="24"/>
          <w:lang w:eastAsia="es-CO"/>
        </w:rPr>
        <w:t>a</w:t>
      </w:r>
      <w:r w:rsidR="00B71118" w:rsidRPr="00B9071B">
        <w:rPr>
          <w:rFonts w:ascii="Calibri Light" w:eastAsia="Times New Roman" w:hAnsi="Calibri Light" w:cs="Times New Roman"/>
          <w:sz w:val="24"/>
          <w:szCs w:val="24"/>
          <w:lang w:eastAsia="es-CO"/>
        </w:rPr>
        <w:tab/>
      </w:r>
      <w:r w:rsidR="00B71118" w:rsidRPr="00B9071B">
        <w:rPr>
          <w:rFonts w:ascii="Calibri Light" w:eastAsia="Times New Roman" w:hAnsi="Calibri Light" w:cs="Times New Roman"/>
          <w:sz w:val="24"/>
          <w:szCs w:val="24"/>
          <w:lang w:eastAsia="es-CO"/>
        </w:rPr>
        <w:tab/>
      </w:r>
      <w:r w:rsidR="00E32384">
        <w:rPr>
          <w:rFonts w:ascii="Calibri Light" w:eastAsia="Times New Roman" w:hAnsi="Calibri Light" w:cs="Times New Roman"/>
          <w:sz w:val="24"/>
          <w:szCs w:val="24"/>
          <w:lang w:eastAsia="es-CO"/>
        </w:rPr>
        <w:t xml:space="preserve"> </w:t>
      </w:r>
      <w:r w:rsidR="00B71118" w:rsidRPr="00B9071B">
        <w:rPr>
          <w:rFonts w:ascii="Calibri Light" w:eastAsia="Times New Roman" w:hAnsi="Calibri Light" w:cs="Times New Roman"/>
          <w:sz w:val="24"/>
          <w:szCs w:val="24"/>
          <w:lang w:eastAsia="es-CO"/>
        </w:rPr>
        <w:t xml:space="preserve">            </w:t>
      </w:r>
      <w:r w:rsidR="00ED247F" w:rsidRPr="00B9071B">
        <w:rPr>
          <w:rFonts w:ascii="Calibri Light" w:eastAsia="Times New Roman" w:hAnsi="Calibri Light" w:cs="Times New Roman"/>
          <w:sz w:val="24"/>
          <w:szCs w:val="24"/>
          <w:lang w:eastAsia="es-CO"/>
        </w:rPr>
        <w:t>Presidente</w:t>
      </w:r>
    </w:p>
    <w:p w14:paraId="6E318636" w14:textId="77777777" w:rsidR="00992371" w:rsidRPr="00B9071B" w:rsidRDefault="00992371" w:rsidP="00ED247F">
      <w:pPr>
        <w:spacing w:after="0" w:line="240" w:lineRule="auto"/>
        <w:jc w:val="both"/>
        <w:rPr>
          <w:rFonts w:ascii="Calibri Light" w:eastAsia="Times New Roman" w:hAnsi="Calibri Light" w:cs="Times New Roman"/>
          <w:b/>
          <w:sz w:val="24"/>
          <w:szCs w:val="24"/>
          <w:lang w:eastAsia="es-CO"/>
        </w:rPr>
      </w:pPr>
    </w:p>
    <w:p w14:paraId="43141F50" w14:textId="77777777" w:rsidR="009F2589" w:rsidRPr="00B9071B" w:rsidRDefault="009F2589" w:rsidP="00ED247F">
      <w:pPr>
        <w:spacing w:after="0" w:line="240" w:lineRule="auto"/>
        <w:jc w:val="both"/>
        <w:rPr>
          <w:rFonts w:ascii="Calibri Light" w:eastAsia="Times New Roman" w:hAnsi="Calibri Light" w:cs="Times New Roman"/>
          <w:b/>
          <w:sz w:val="24"/>
          <w:szCs w:val="24"/>
          <w:lang w:eastAsia="es-CO"/>
        </w:rPr>
      </w:pPr>
    </w:p>
    <w:p w14:paraId="76020AD7" w14:textId="77777777" w:rsidR="009F2589" w:rsidRPr="00B9071B" w:rsidRDefault="009F2589" w:rsidP="00ED247F">
      <w:pPr>
        <w:spacing w:after="0" w:line="240" w:lineRule="auto"/>
        <w:jc w:val="both"/>
        <w:rPr>
          <w:rFonts w:ascii="Calibri Light" w:eastAsia="Times New Roman" w:hAnsi="Calibri Light" w:cs="Times New Roman"/>
          <w:b/>
          <w:sz w:val="24"/>
          <w:szCs w:val="24"/>
          <w:lang w:eastAsia="es-CO"/>
        </w:rPr>
      </w:pPr>
    </w:p>
    <w:p w14:paraId="0A4D87ED" w14:textId="77777777" w:rsidR="007D16A6" w:rsidRPr="00B9071B" w:rsidRDefault="007D16A6" w:rsidP="00ED247F">
      <w:pPr>
        <w:spacing w:after="0" w:line="240" w:lineRule="auto"/>
        <w:jc w:val="both"/>
        <w:rPr>
          <w:rFonts w:ascii="Calibri Light" w:eastAsia="Times New Roman" w:hAnsi="Calibri Light" w:cs="Times New Roman"/>
          <w:b/>
          <w:sz w:val="24"/>
          <w:szCs w:val="24"/>
          <w:lang w:eastAsia="es-CO"/>
        </w:rPr>
      </w:pPr>
    </w:p>
    <w:p w14:paraId="5AE4872E" w14:textId="77777777" w:rsidR="000D1985" w:rsidRPr="00B9071B" w:rsidRDefault="00234EB6" w:rsidP="00DF170E">
      <w:pPr>
        <w:spacing w:after="0" w:line="240" w:lineRule="auto"/>
        <w:jc w:val="both"/>
        <w:rPr>
          <w:rFonts w:ascii="Calibri Light" w:eastAsia="Times New Roman" w:hAnsi="Calibri Light" w:cs="Times New Roman"/>
          <w:b/>
          <w:sz w:val="24"/>
          <w:szCs w:val="24"/>
          <w:lang w:eastAsia="es-CO"/>
        </w:rPr>
      </w:pPr>
      <w:r w:rsidRPr="00B9071B">
        <w:rPr>
          <w:rFonts w:ascii="Calibri Light" w:eastAsia="Times New Roman" w:hAnsi="Calibri Light" w:cs="Times New Roman"/>
          <w:b/>
          <w:sz w:val="24"/>
          <w:szCs w:val="24"/>
          <w:lang w:eastAsia="es-CO"/>
        </w:rPr>
        <w:t xml:space="preserve">   </w:t>
      </w:r>
      <w:r w:rsidR="00494AAD" w:rsidRPr="00B9071B">
        <w:rPr>
          <w:rFonts w:ascii="Calibri Light" w:eastAsia="Times New Roman" w:hAnsi="Calibri Light" w:cs="Times New Roman"/>
          <w:b/>
          <w:sz w:val="24"/>
          <w:szCs w:val="24"/>
          <w:lang w:eastAsia="es-CO"/>
        </w:rPr>
        <w:tab/>
      </w:r>
    </w:p>
    <w:p w14:paraId="5BD887A4" w14:textId="35C6D7BE" w:rsidR="00DF170E" w:rsidRPr="00B9071B" w:rsidRDefault="000D1985" w:rsidP="00DF170E">
      <w:pPr>
        <w:spacing w:after="0" w:line="240" w:lineRule="auto"/>
        <w:jc w:val="both"/>
        <w:rPr>
          <w:rFonts w:ascii="Calibri Light" w:eastAsia="Times New Roman" w:hAnsi="Calibri Light" w:cs="Times New Roman"/>
          <w:b/>
          <w:sz w:val="24"/>
          <w:szCs w:val="24"/>
          <w:lang w:eastAsia="es-CO"/>
        </w:rPr>
      </w:pPr>
      <w:r w:rsidRPr="00B9071B">
        <w:rPr>
          <w:rFonts w:ascii="Calibri Light" w:eastAsia="Times New Roman" w:hAnsi="Calibri Light" w:cs="Times New Roman"/>
          <w:b/>
          <w:sz w:val="24"/>
          <w:szCs w:val="24"/>
          <w:lang w:eastAsia="es-CO"/>
        </w:rPr>
        <w:t xml:space="preserve">             </w:t>
      </w:r>
      <w:r w:rsidR="000530B0" w:rsidRPr="00B9071B">
        <w:rPr>
          <w:rFonts w:ascii="Calibri Light" w:eastAsia="Times New Roman" w:hAnsi="Calibri Light" w:cs="Times New Roman"/>
          <w:b/>
          <w:sz w:val="24"/>
          <w:szCs w:val="24"/>
          <w:lang w:eastAsia="es-CO"/>
        </w:rPr>
        <w:t xml:space="preserve">                   </w:t>
      </w:r>
      <w:r w:rsidR="00992371" w:rsidRPr="00B9071B">
        <w:rPr>
          <w:rFonts w:ascii="Calibri Light" w:eastAsia="Times New Roman" w:hAnsi="Calibri Light" w:cs="Times New Roman"/>
          <w:b/>
          <w:sz w:val="24"/>
          <w:szCs w:val="24"/>
          <w:lang w:eastAsia="es-CO"/>
        </w:rPr>
        <w:t xml:space="preserve"> </w:t>
      </w:r>
      <w:r w:rsidR="007D16A6" w:rsidRPr="00B9071B">
        <w:rPr>
          <w:rFonts w:ascii="Calibri Light" w:eastAsia="Times New Roman" w:hAnsi="Calibri Light" w:cs="Times New Roman"/>
          <w:b/>
          <w:sz w:val="24"/>
          <w:szCs w:val="24"/>
          <w:lang w:eastAsia="es-CO"/>
        </w:rPr>
        <w:t xml:space="preserve">       </w:t>
      </w:r>
      <w:r w:rsidR="00DF170E" w:rsidRPr="00B9071B">
        <w:rPr>
          <w:rFonts w:ascii="Calibri Light" w:eastAsia="Times New Roman" w:hAnsi="Calibri Light" w:cs="Times New Roman"/>
          <w:b/>
          <w:sz w:val="24"/>
          <w:szCs w:val="24"/>
          <w:lang w:eastAsia="es-CO"/>
        </w:rPr>
        <w:t>AMPARO Y. CALDERON PERDOMO</w:t>
      </w:r>
    </w:p>
    <w:p w14:paraId="588C3E94" w14:textId="284F6E77" w:rsidR="00BF34E3" w:rsidRPr="00B9071B" w:rsidRDefault="00234EB6" w:rsidP="00494AAD">
      <w:pPr>
        <w:tabs>
          <w:tab w:val="center" w:pos="4419"/>
        </w:tabs>
        <w:spacing w:after="0" w:line="240" w:lineRule="auto"/>
        <w:jc w:val="both"/>
        <w:rPr>
          <w:rFonts w:ascii="Calibri Light" w:eastAsia="Times New Roman" w:hAnsi="Calibri Light" w:cs="Times New Roman"/>
          <w:sz w:val="24"/>
          <w:szCs w:val="24"/>
          <w:lang w:eastAsia="es-CO"/>
        </w:rPr>
      </w:pPr>
      <w:r w:rsidRPr="00B9071B">
        <w:rPr>
          <w:rFonts w:ascii="Calibri Light" w:eastAsia="Times New Roman" w:hAnsi="Calibri Light" w:cs="Times New Roman"/>
          <w:sz w:val="24"/>
          <w:szCs w:val="24"/>
          <w:lang w:eastAsia="es-CO"/>
        </w:rPr>
        <w:t xml:space="preserve">                                   </w:t>
      </w:r>
      <w:r w:rsidR="001C3B3B" w:rsidRPr="00B9071B">
        <w:rPr>
          <w:rFonts w:ascii="Calibri Light" w:eastAsia="Times New Roman" w:hAnsi="Calibri Light" w:cs="Times New Roman"/>
          <w:sz w:val="24"/>
          <w:szCs w:val="24"/>
          <w:lang w:eastAsia="es-CO"/>
        </w:rPr>
        <w:t xml:space="preserve">     </w:t>
      </w:r>
      <w:r w:rsidR="007D16A6" w:rsidRPr="00B9071B">
        <w:rPr>
          <w:rFonts w:ascii="Calibri Light" w:eastAsia="Times New Roman" w:hAnsi="Calibri Light" w:cs="Times New Roman"/>
          <w:sz w:val="24"/>
          <w:szCs w:val="24"/>
          <w:lang w:eastAsia="es-CO"/>
        </w:rPr>
        <w:t xml:space="preserve">          </w:t>
      </w:r>
      <w:r w:rsidR="001C3B3B" w:rsidRPr="00B9071B">
        <w:rPr>
          <w:rFonts w:ascii="Calibri Light" w:eastAsia="Times New Roman" w:hAnsi="Calibri Light" w:cs="Times New Roman"/>
          <w:sz w:val="24"/>
          <w:szCs w:val="24"/>
          <w:lang w:eastAsia="es-CO"/>
        </w:rPr>
        <w:t xml:space="preserve">     </w:t>
      </w:r>
      <w:r w:rsidR="00992371" w:rsidRPr="00B9071B">
        <w:rPr>
          <w:rFonts w:ascii="Calibri Light" w:eastAsia="Times New Roman" w:hAnsi="Calibri Light" w:cs="Times New Roman"/>
          <w:sz w:val="24"/>
          <w:szCs w:val="24"/>
          <w:lang w:eastAsia="es-CO"/>
        </w:rPr>
        <w:t xml:space="preserve">        </w:t>
      </w:r>
      <w:r w:rsidR="001C3B3B" w:rsidRPr="00B9071B">
        <w:rPr>
          <w:rFonts w:ascii="Calibri Light" w:eastAsia="Times New Roman" w:hAnsi="Calibri Light" w:cs="Times New Roman"/>
          <w:sz w:val="24"/>
          <w:szCs w:val="24"/>
          <w:lang w:eastAsia="es-CO"/>
        </w:rPr>
        <w:t xml:space="preserve"> </w:t>
      </w:r>
      <w:r w:rsidR="00DF170E" w:rsidRPr="00B9071B">
        <w:rPr>
          <w:rFonts w:ascii="Calibri Light" w:eastAsia="Times New Roman" w:hAnsi="Calibri Light" w:cs="Times New Roman"/>
          <w:sz w:val="24"/>
          <w:szCs w:val="24"/>
          <w:lang w:eastAsia="es-CO"/>
        </w:rPr>
        <w:t>Secretaria</w:t>
      </w:r>
    </w:p>
    <w:sectPr w:rsidR="00BF34E3" w:rsidRPr="00B9071B"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5450B" w14:textId="77777777" w:rsidR="004E0B9A" w:rsidRDefault="004E0B9A" w:rsidP="00F464B3">
      <w:pPr>
        <w:spacing w:after="0" w:line="240" w:lineRule="auto"/>
      </w:pPr>
      <w:r>
        <w:separator/>
      </w:r>
    </w:p>
  </w:endnote>
  <w:endnote w:type="continuationSeparator" w:id="0">
    <w:p w14:paraId="50C77C01" w14:textId="77777777" w:rsidR="004E0B9A" w:rsidRDefault="004E0B9A"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38C2CBB1" w:rsidR="00BB3C7B" w:rsidRDefault="00BB3C7B">
        <w:pPr>
          <w:pStyle w:val="Piedepgina"/>
          <w:jc w:val="right"/>
        </w:pPr>
        <w:r>
          <w:fldChar w:fldCharType="begin"/>
        </w:r>
        <w:r>
          <w:instrText>PAGE   \* MERGEFORMAT</w:instrText>
        </w:r>
        <w:r>
          <w:fldChar w:fldCharType="separate"/>
        </w:r>
        <w:r w:rsidR="00481881" w:rsidRPr="00481881">
          <w:rPr>
            <w:noProof/>
            <w:lang w:val="es-ES"/>
          </w:rPr>
          <w:t>2</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25DE2" w14:textId="77777777" w:rsidR="004E0B9A" w:rsidRDefault="004E0B9A" w:rsidP="00F464B3">
      <w:pPr>
        <w:spacing w:after="0" w:line="240" w:lineRule="auto"/>
      </w:pPr>
      <w:r>
        <w:separator/>
      </w:r>
    </w:p>
  </w:footnote>
  <w:footnote w:type="continuationSeparator" w:id="0">
    <w:p w14:paraId="36365B82" w14:textId="77777777" w:rsidR="004E0B9A" w:rsidRDefault="004E0B9A"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0F23B4"/>
    <w:multiLevelType w:val="multilevel"/>
    <w:tmpl w:val="EF844DCA"/>
    <w:lvl w:ilvl="0">
      <w:start w:val="32"/>
      <w:numFmt w:val="decimal"/>
      <w:lvlText w:val="%1"/>
      <w:lvlJc w:val="left"/>
      <w:pPr>
        <w:ind w:left="525" w:hanging="525"/>
      </w:pPr>
      <w:rPr>
        <w:rFonts w:hint="default"/>
        <w:b/>
      </w:rPr>
    </w:lvl>
    <w:lvl w:ilvl="1">
      <w:start w:val="2"/>
      <w:numFmt w:val="decimal"/>
      <w:lvlText w:val="%1.%2"/>
      <w:lvlJc w:val="left"/>
      <w:pPr>
        <w:ind w:left="1005" w:hanging="525"/>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520" w:hanging="108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840" w:hanging="144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5160" w:hanging="1800"/>
      </w:pPr>
      <w:rPr>
        <w:rFonts w:hint="default"/>
        <w:b/>
      </w:rPr>
    </w:lvl>
    <w:lvl w:ilvl="8">
      <w:start w:val="1"/>
      <w:numFmt w:val="decimal"/>
      <w:lvlText w:val="%1.%2.%3.%4.%5.%6.%7.%8.%9"/>
      <w:lvlJc w:val="left"/>
      <w:pPr>
        <w:ind w:left="5640" w:hanging="1800"/>
      </w:pPr>
      <w:rPr>
        <w:rFonts w:hint="default"/>
        <w:b/>
      </w:rPr>
    </w:lvl>
  </w:abstractNum>
  <w:abstractNum w:abstractNumId="22"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3"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0"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37910CD"/>
    <w:multiLevelType w:val="multilevel"/>
    <w:tmpl w:val="808AB72C"/>
    <w:lvl w:ilvl="0">
      <w:start w:val="1"/>
      <w:numFmt w:val="decimal"/>
      <w:lvlText w:val="%1."/>
      <w:lvlJc w:val="left"/>
      <w:pPr>
        <w:ind w:left="420" w:hanging="42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3"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79A457D1"/>
    <w:multiLevelType w:val="multilevel"/>
    <w:tmpl w:val="5C58263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3"/>
  </w:num>
  <w:num w:numId="2">
    <w:abstractNumId w:val="29"/>
  </w:num>
  <w:num w:numId="3">
    <w:abstractNumId w:val="32"/>
  </w:num>
  <w:num w:numId="4">
    <w:abstractNumId w:val="20"/>
  </w:num>
  <w:num w:numId="5">
    <w:abstractNumId w:val="27"/>
  </w:num>
  <w:num w:numId="6">
    <w:abstractNumId w:val="36"/>
  </w:num>
  <w:num w:numId="7">
    <w:abstractNumId w:val="48"/>
  </w:num>
  <w:num w:numId="8">
    <w:abstractNumId w:val="5"/>
  </w:num>
  <w:num w:numId="9">
    <w:abstractNumId w:val="7"/>
  </w:num>
  <w:num w:numId="10">
    <w:abstractNumId w:val="34"/>
  </w:num>
  <w:num w:numId="11">
    <w:abstractNumId w:val="38"/>
  </w:num>
  <w:num w:numId="12">
    <w:abstractNumId w:val="40"/>
  </w:num>
  <w:num w:numId="13">
    <w:abstractNumId w:val="37"/>
  </w:num>
  <w:num w:numId="14">
    <w:abstractNumId w:val="45"/>
  </w:num>
  <w:num w:numId="15">
    <w:abstractNumId w:val="35"/>
  </w:num>
  <w:num w:numId="16">
    <w:abstractNumId w:val="10"/>
  </w:num>
  <w:num w:numId="17">
    <w:abstractNumId w:val="6"/>
  </w:num>
  <w:num w:numId="18">
    <w:abstractNumId w:val="14"/>
  </w:num>
  <w:num w:numId="19">
    <w:abstractNumId w:val="15"/>
  </w:num>
  <w:num w:numId="20">
    <w:abstractNumId w:val="46"/>
  </w:num>
  <w:num w:numId="21">
    <w:abstractNumId w:val="25"/>
  </w:num>
  <w:num w:numId="22">
    <w:abstractNumId w:val="50"/>
  </w:num>
  <w:num w:numId="23">
    <w:abstractNumId w:val="19"/>
  </w:num>
  <w:num w:numId="24">
    <w:abstractNumId w:val="4"/>
  </w:num>
  <w:num w:numId="25">
    <w:abstractNumId w:val="2"/>
  </w:num>
  <w:num w:numId="26">
    <w:abstractNumId w:val="18"/>
  </w:num>
  <w:num w:numId="27">
    <w:abstractNumId w:val="42"/>
  </w:num>
  <w:num w:numId="28">
    <w:abstractNumId w:val="16"/>
  </w:num>
  <w:num w:numId="29">
    <w:abstractNumId w:val="52"/>
  </w:num>
  <w:num w:numId="30">
    <w:abstractNumId w:val="51"/>
  </w:num>
  <w:num w:numId="31">
    <w:abstractNumId w:val="26"/>
  </w:num>
  <w:num w:numId="32">
    <w:abstractNumId w:val="41"/>
  </w:num>
  <w:num w:numId="33">
    <w:abstractNumId w:val="11"/>
  </w:num>
  <w:num w:numId="34">
    <w:abstractNumId w:val="12"/>
  </w:num>
  <w:num w:numId="35">
    <w:abstractNumId w:val="43"/>
  </w:num>
  <w:num w:numId="36">
    <w:abstractNumId w:val="44"/>
  </w:num>
  <w:num w:numId="37">
    <w:abstractNumId w:val="53"/>
  </w:num>
  <w:num w:numId="38">
    <w:abstractNumId w:val="13"/>
  </w:num>
  <w:num w:numId="39">
    <w:abstractNumId w:val="22"/>
  </w:num>
  <w:num w:numId="40">
    <w:abstractNumId w:val="24"/>
  </w:num>
  <w:num w:numId="41">
    <w:abstractNumId w:val="28"/>
  </w:num>
  <w:num w:numId="42">
    <w:abstractNumId w:val="39"/>
  </w:num>
  <w:num w:numId="43">
    <w:abstractNumId w:val="30"/>
  </w:num>
  <w:num w:numId="44">
    <w:abstractNumId w:val="17"/>
  </w:num>
  <w:num w:numId="45">
    <w:abstractNumId w:val="23"/>
  </w:num>
  <w:num w:numId="46">
    <w:abstractNumId w:val="47"/>
  </w:num>
  <w:num w:numId="47">
    <w:abstractNumId w:val="9"/>
  </w:num>
  <w:num w:numId="48">
    <w:abstractNumId w:val="0"/>
  </w:num>
  <w:num w:numId="49">
    <w:abstractNumId w:val="3"/>
  </w:num>
  <w:num w:numId="50">
    <w:abstractNumId w:val="1"/>
  </w:num>
  <w:num w:numId="51">
    <w:abstractNumId w:val="8"/>
  </w:num>
  <w:num w:numId="52">
    <w:abstractNumId w:val="31"/>
  </w:num>
  <w:num w:numId="53">
    <w:abstractNumId w:val="21"/>
  </w:num>
  <w:num w:numId="54">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41BE"/>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9DE"/>
    <w:rsid w:val="00124BE5"/>
    <w:rsid w:val="00124F86"/>
    <w:rsid w:val="0012607A"/>
    <w:rsid w:val="001325C5"/>
    <w:rsid w:val="00132CC4"/>
    <w:rsid w:val="0013623F"/>
    <w:rsid w:val="001412D4"/>
    <w:rsid w:val="00143359"/>
    <w:rsid w:val="001455BD"/>
    <w:rsid w:val="00146466"/>
    <w:rsid w:val="0015426D"/>
    <w:rsid w:val="0015512A"/>
    <w:rsid w:val="0015777F"/>
    <w:rsid w:val="00163C52"/>
    <w:rsid w:val="001645A1"/>
    <w:rsid w:val="00164804"/>
    <w:rsid w:val="00166B48"/>
    <w:rsid w:val="00167AA0"/>
    <w:rsid w:val="00170E01"/>
    <w:rsid w:val="0017133E"/>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7BCB"/>
    <w:rsid w:val="00240AE1"/>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0FCD"/>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455CB"/>
    <w:rsid w:val="00347485"/>
    <w:rsid w:val="0035055D"/>
    <w:rsid w:val="00352BB2"/>
    <w:rsid w:val="00353A29"/>
    <w:rsid w:val="003549ED"/>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7482"/>
    <w:rsid w:val="004029C1"/>
    <w:rsid w:val="00403989"/>
    <w:rsid w:val="0041313E"/>
    <w:rsid w:val="00415236"/>
    <w:rsid w:val="004201D0"/>
    <w:rsid w:val="00423C49"/>
    <w:rsid w:val="004250DB"/>
    <w:rsid w:val="004325B6"/>
    <w:rsid w:val="00435772"/>
    <w:rsid w:val="00437BC2"/>
    <w:rsid w:val="004403AB"/>
    <w:rsid w:val="004502E0"/>
    <w:rsid w:val="004520A7"/>
    <w:rsid w:val="0045788D"/>
    <w:rsid w:val="00460BB0"/>
    <w:rsid w:val="0046125C"/>
    <w:rsid w:val="004621DF"/>
    <w:rsid w:val="004721F2"/>
    <w:rsid w:val="00472F92"/>
    <w:rsid w:val="004747EE"/>
    <w:rsid w:val="004750CB"/>
    <w:rsid w:val="00476665"/>
    <w:rsid w:val="00480B0E"/>
    <w:rsid w:val="00481881"/>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48F0"/>
    <w:rsid w:val="004D55BD"/>
    <w:rsid w:val="004E0B9A"/>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30FB"/>
    <w:rsid w:val="005560E6"/>
    <w:rsid w:val="00560475"/>
    <w:rsid w:val="00560D2E"/>
    <w:rsid w:val="00561E5C"/>
    <w:rsid w:val="0056770C"/>
    <w:rsid w:val="00574373"/>
    <w:rsid w:val="00574941"/>
    <w:rsid w:val="00576000"/>
    <w:rsid w:val="00576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102F"/>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1487"/>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70F9"/>
    <w:rsid w:val="0078765A"/>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16170"/>
    <w:rsid w:val="00822CAA"/>
    <w:rsid w:val="00823EC1"/>
    <w:rsid w:val="00830248"/>
    <w:rsid w:val="00830D20"/>
    <w:rsid w:val="00831772"/>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4CF1"/>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7D0"/>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1444"/>
    <w:rsid w:val="009A2032"/>
    <w:rsid w:val="009A5162"/>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85AB1"/>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6C31"/>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2098"/>
    <w:rsid w:val="00B82C19"/>
    <w:rsid w:val="00B830A1"/>
    <w:rsid w:val="00B83B3F"/>
    <w:rsid w:val="00B84B8A"/>
    <w:rsid w:val="00B86149"/>
    <w:rsid w:val="00B9071B"/>
    <w:rsid w:val="00B90EBE"/>
    <w:rsid w:val="00B928FF"/>
    <w:rsid w:val="00B95C60"/>
    <w:rsid w:val="00B965E5"/>
    <w:rsid w:val="00B9795C"/>
    <w:rsid w:val="00BA0A1A"/>
    <w:rsid w:val="00BA2727"/>
    <w:rsid w:val="00BA2BBE"/>
    <w:rsid w:val="00BA4E0B"/>
    <w:rsid w:val="00BA7ED0"/>
    <w:rsid w:val="00BB3A4B"/>
    <w:rsid w:val="00BB3C7B"/>
    <w:rsid w:val="00BB4782"/>
    <w:rsid w:val="00BB5149"/>
    <w:rsid w:val="00BC36CC"/>
    <w:rsid w:val="00BC6652"/>
    <w:rsid w:val="00BC73C8"/>
    <w:rsid w:val="00BD4663"/>
    <w:rsid w:val="00BD76A5"/>
    <w:rsid w:val="00BE0339"/>
    <w:rsid w:val="00BE1480"/>
    <w:rsid w:val="00BE4D05"/>
    <w:rsid w:val="00BE5428"/>
    <w:rsid w:val="00BE634C"/>
    <w:rsid w:val="00BF1367"/>
    <w:rsid w:val="00BF34E3"/>
    <w:rsid w:val="00BF4F92"/>
    <w:rsid w:val="00BF60B5"/>
    <w:rsid w:val="00BF6C85"/>
    <w:rsid w:val="00C00899"/>
    <w:rsid w:val="00C01196"/>
    <w:rsid w:val="00C03728"/>
    <w:rsid w:val="00C05986"/>
    <w:rsid w:val="00C05FE9"/>
    <w:rsid w:val="00C1025A"/>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272B"/>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C780A"/>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DF32BB"/>
    <w:rsid w:val="00E03E9B"/>
    <w:rsid w:val="00E05FB7"/>
    <w:rsid w:val="00E079E5"/>
    <w:rsid w:val="00E11FDF"/>
    <w:rsid w:val="00E12387"/>
    <w:rsid w:val="00E15245"/>
    <w:rsid w:val="00E15259"/>
    <w:rsid w:val="00E174E0"/>
    <w:rsid w:val="00E17FF4"/>
    <w:rsid w:val="00E24FFD"/>
    <w:rsid w:val="00E32384"/>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C7B9A"/>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74"/>
    <w:rsid w:val="00EF6CBD"/>
    <w:rsid w:val="00EF7F49"/>
    <w:rsid w:val="00F075AC"/>
    <w:rsid w:val="00F077D0"/>
    <w:rsid w:val="00F128FF"/>
    <w:rsid w:val="00F25438"/>
    <w:rsid w:val="00F256CE"/>
    <w:rsid w:val="00F3324F"/>
    <w:rsid w:val="00F374B1"/>
    <w:rsid w:val="00F3751E"/>
    <w:rsid w:val="00F41D78"/>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0B60"/>
    <w:rsid w:val="00FA2762"/>
    <w:rsid w:val="00FA64B3"/>
    <w:rsid w:val="00FB287C"/>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7692B-6D56-492F-A3FE-3AFF8853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890</Words>
  <Characters>4901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10</cp:revision>
  <cp:lastPrinted>2023-09-06T20:50:00Z</cp:lastPrinted>
  <dcterms:created xsi:type="dcterms:W3CDTF">2023-09-06T20:28:00Z</dcterms:created>
  <dcterms:modified xsi:type="dcterms:W3CDTF">2023-09-13T20:37:00Z</dcterms:modified>
</cp:coreProperties>
</file>